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3A5" w:rsidRDefault="006933A5" w:rsidP="006933A5">
      <w:pPr>
        <w:rPr>
          <w:b/>
        </w:rPr>
      </w:pPr>
      <w:r>
        <w:rPr>
          <w:b/>
        </w:rPr>
        <w:t>Math 321 Differential Equations</w:t>
      </w:r>
    </w:p>
    <w:p w:rsidR="006933A5" w:rsidRDefault="006933A5" w:rsidP="006933A5">
      <w:r>
        <w:rPr>
          <w:b/>
        </w:rPr>
        <w:t xml:space="preserve">C14 </w:t>
      </w:r>
      <w:bookmarkStart w:id="0" w:name="_GoBack"/>
      <w:bookmarkEnd w:id="0"/>
      <w:r>
        <w:rPr>
          <w:b/>
        </w:rPr>
        <w:t>Extended Linearity Principle</w:t>
      </w:r>
    </w:p>
    <w:p w:rsidR="006933A5" w:rsidRDefault="006933A5" w:rsidP="006933A5"/>
    <w:p w:rsidR="006933A5" w:rsidRDefault="006933A5" w:rsidP="006933A5">
      <w:pPr>
        <w:spacing w:after="120"/>
      </w:pPr>
      <w:r>
        <w:t>Consider a second-order linear non-homogeneous differential equation</w:t>
      </w:r>
    </w:p>
    <w:p w:rsidR="006933A5" w:rsidRPr="006933A5" w:rsidRDefault="006933A5" w:rsidP="006933A5">
      <w:pPr>
        <w:spacing w:after="120"/>
        <w:ind w:left="720"/>
        <w:jc w:val="center"/>
      </w:pPr>
      <m:oMathPara>
        <m:oMathParaPr>
          <m:jc m:val="left"/>
        </m:oMathParaPr>
        <m:oMath>
          <m:r>
            <w:rPr>
              <w:rFonts w:ascii="Cambria Math"/>
            </w:rPr>
            <m:t>y</m:t>
          </m:r>
          <m:r>
            <w:rPr>
              <w:rFonts w:ascii="Cambria Math"/>
            </w:rPr>
            <m:t>''</m:t>
          </m:r>
          <m:r>
            <w:rPr>
              <w:rFonts w:ascii="Cambria Math"/>
            </w:rPr>
            <m:t>+py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+qy=g(t</m:t>
          </m:r>
          <m:r>
            <w:rPr>
              <w:rFonts w:ascii="Cambria Math"/>
            </w:rPr>
            <m:t>)</m:t>
          </m:r>
        </m:oMath>
      </m:oMathPara>
    </w:p>
    <w:p w:rsidR="006933A5" w:rsidRDefault="006933A5" w:rsidP="006933A5">
      <w:pPr>
        <w:spacing w:after="120"/>
      </w:pPr>
      <w:r>
        <w:t>and its corresponding homogeneous equation</w:t>
      </w:r>
    </w:p>
    <w:p w:rsidR="006933A5" w:rsidRPr="006933A5" w:rsidRDefault="006933A5" w:rsidP="006933A5">
      <w:pPr>
        <w:spacing w:after="120"/>
        <w:ind w:left="720"/>
        <w:jc w:val="center"/>
      </w:pPr>
      <m:oMathPara>
        <m:oMathParaPr>
          <m:jc m:val="left"/>
        </m:oMathParaPr>
        <m:oMath>
          <m:r>
            <w:rPr>
              <w:rFonts w:ascii="Cambria Math"/>
            </w:rPr>
            <m:t>y</m:t>
          </m:r>
          <m:r>
            <w:rPr>
              <w:rFonts w:ascii="Cambria Math"/>
            </w:rPr>
            <m:t>''</m:t>
          </m:r>
          <m:r>
            <w:rPr>
              <w:rFonts w:ascii="Cambria Math"/>
            </w:rPr>
            <m:t>+py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+qy=</m:t>
          </m:r>
          <m:r>
            <w:rPr>
              <w:rFonts w:ascii="Cambria Math"/>
            </w:rPr>
            <m:t>0</m:t>
          </m:r>
        </m:oMath>
      </m:oMathPara>
    </w:p>
    <w:p w:rsidR="006933A5" w:rsidRDefault="006933A5" w:rsidP="006933A5"/>
    <w:p w:rsidR="006933A5" w:rsidRDefault="006933A5" w:rsidP="006933A5">
      <w:r>
        <w:t xml:space="preserve">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(t)</m:t>
        </m:r>
      </m:oMath>
      <w:r>
        <w:t xml:space="preserve"> is a particular solution to the non-homogeneous equation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>
        <w:t xml:space="preserve"> is a general solution to the homogeneous equation, then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p</m:t>
            </m:r>
          </m:sub>
        </m:sSub>
        <m:r>
          <w:rPr>
            <w:rFonts w:ascii="Cambria Math"/>
          </w:rPr>
          <m:t>(t)</m:t>
        </m:r>
      </m:oMath>
      <w:r>
        <w:t xml:space="preserve"> is the general solution to the non-homogeneous equation.</w:t>
      </w:r>
    </w:p>
    <w:p w:rsidR="006933A5" w:rsidRDefault="006933A5" w:rsidP="006933A5"/>
    <w:p w:rsidR="006933A5" w:rsidRDefault="006933A5" w:rsidP="006933A5">
      <w:pPr>
        <w:pStyle w:val="MTDisplayEquation"/>
        <w:numPr>
          <w:ilvl w:val="0"/>
          <w:numId w:val="2"/>
        </w:numPr>
      </w:pPr>
      <w:r>
        <w:t xml:space="preserve">Proof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p</m:t>
            </m:r>
          </m:sub>
        </m:sSub>
        <m:r>
          <w:rPr>
            <w:rFonts w:ascii="Cambria Math"/>
          </w:rPr>
          <m:t>(t)</m:t>
        </m:r>
      </m:oMath>
      <w:r>
        <w:t xml:space="preserve"> is a solution to the non-homogeneous equation:</w:t>
      </w:r>
    </w:p>
    <w:p w:rsidR="006933A5" w:rsidRDefault="006933A5" w:rsidP="006933A5"/>
    <w:p w:rsidR="006933A5" w:rsidRPr="006933A5" w:rsidRDefault="006933A5" w:rsidP="006933A5">
      <w:pPr>
        <w:spacing w:after="120"/>
        <w:ind w:left="360"/>
        <w:jc w:val="center"/>
      </w:pPr>
      <m:oMathPara>
        <m:oMathParaPr>
          <m:jc m:val="left"/>
        </m:oMathParaPr>
        <m:oMath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p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/>
                </w:rPr>
                <m:t>'</m:t>
              </m:r>
              <m:r>
                <w:rPr>
                  <w:rFonts w:ascii="Cambria Math"/>
                </w:rPr>
                <m:t>'</m:t>
              </m:r>
            </m:sup>
          </m:sSup>
          <m:r>
            <w:rPr>
              <w:rFonts w:ascii="Cambria Math"/>
            </w:rPr>
            <m:t>+p</m:t>
          </m:r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p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/>
                </w:rPr>
                <m:t>'</m:t>
              </m:r>
            </m:sup>
          </m:sSup>
          <m:r>
            <w:rPr>
              <w:rFonts w:ascii="Cambria Math"/>
            </w:rPr>
            <m:t>+q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k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k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</m:oMath>
      </m:oMathPara>
    </w:p>
    <w:p w:rsidR="006933A5" w:rsidRPr="006933A5" w:rsidRDefault="006933A5" w:rsidP="006933A5">
      <w:pPr>
        <w:spacing w:after="120"/>
        <w:ind w:left="360"/>
        <w:jc w:val="center"/>
      </w:pPr>
      <m:oMathPara>
        <m:oMathParaPr>
          <m:jc m:val="left"/>
        </m:oMathParaPr>
        <m:oMath>
          <m:r>
            <w:rPr>
              <w:rFonts w:ascii="Cambria Math"/>
            </w:rPr>
            <m:t>=</m:t>
          </m:r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/>
                </w:rPr>
                <m:t>'</m:t>
              </m:r>
              <m:r>
                <w:rPr>
                  <w:rFonts w:ascii="Cambria Math"/>
                </w:rPr>
                <m:t>'</m:t>
              </m:r>
            </m:sup>
          </m:sSup>
          <m:r>
            <w:rPr>
              <w:rFonts w:ascii="Cambria Math"/>
            </w:rPr>
            <m:t>+</m:t>
          </m:r>
          <m:sSubSup>
            <m:sSubSupPr>
              <m:ctrlPr>
                <w:rPr>
                  <w:rFonts w:ascii="Cambria Math"/>
                  <w:i/>
                </w:rPr>
              </m:ctrlPr>
            </m:sSubSupPr>
            <m:e>
              <m:r>
                <w:rPr>
                  <w:rFonts w:ascii="Cambria Math"/>
                </w:rPr>
                <m:t>y</m:t>
              </m:r>
            </m:e>
            <m:sub>
              <m:r>
                <w:rPr>
                  <w:rFonts w:ascii="Cambria Math"/>
                </w:rPr>
                <m:t>p</m:t>
              </m:r>
            </m:sub>
            <m:sup>
              <m:r>
                <w:rPr>
                  <w:rFonts w:ascii="Cambria Math"/>
                </w:rPr>
                <m:t>'</m:t>
              </m:r>
              <m:r>
                <w:rPr>
                  <w:rFonts w:ascii="Cambria Math"/>
                </w:rPr>
                <m:t>'</m:t>
              </m:r>
            </m:sup>
          </m:sSubSup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  <m:r>
            <w:rPr>
              <w:rFonts w:ascii="Cambria Math"/>
            </w:rPr>
            <m:t>+p</m:t>
          </m:r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/>
                </w:rPr>
                <m:t>'</m:t>
              </m:r>
            </m:sup>
          </m:sSup>
          <m:r>
            <w:rPr>
              <w:rFonts w:ascii="Cambria Math"/>
            </w:rPr>
            <m:t>+p</m:t>
          </m:r>
          <m:sSubSup>
            <m:sSubSupPr>
              <m:ctrlPr>
                <w:rPr>
                  <w:rFonts w:ascii="Cambria Math"/>
                  <w:i/>
                </w:rPr>
              </m:ctrlPr>
            </m:sSubSupPr>
            <m:e>
              <m:r>
                <w:rPr>
                  <w:rFonts w:ascii="Cambria Math"/>
                </w:rPr>
                <m:t>y</m:t>
              </m:r>
            </m:e>
            <m:sub>
              <m:r>
                <w:rPr>
                  <w:rFonts w:ascii="Cambria Math"/>
                </w:rPr>
                <m:t>p</m:t>
              </m:r>
            </m:sub>
            <m:sup>
              <m:r>
                <w:rPr>
                  <w:rFonts w:ascii="Cambria Math"/>
                </w:rPr>
                <m:t>'</m:t>
              </m:r>
            </m:sup>
          </m:sSubSup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  <m:r>
            <w:rPr>
              <w:rFonts w:ascii="Cambria Math"/>
            </w:rPr>
            <m:t>+q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k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k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  <m:r>
            <w:rPr>
              <w:rFonts w:ascii="Cambria Math"/>
            </w:rPr>
            <m:t>+q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y</m:t>
              </m:r>
            </m:e>
            <m:sub>
              <m:r>
                <w:rPr>
                  <w:rFonts w:ascii="Cambria Math"/>
                </w:rPr>
                <m:t>p</m:t>
              </m:r>
            </m:sub>
          </m:sSub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</m:oMath>
      </m:oMathPara>
    </w:p>
    <w:p w:rsidR="006933A5" w:rsidRPr="006933A5" w:rsidRDefault="006933A5" w:rsidP="006933A5">
      <w:pPr>
        <w:spacing w:after="120"/>
        <w:ind w:left="360"/>
        <w:jc w:val="center"/>
      </w:pPr>
      <m:oMathPara>
        <m:oMathParaPr>
          <m:jc m:val="left"/>
        </m:oMathParaPr>
        <m:oMath>
          <m:r>
            <w:rPr>
              <w:rFonts w:ascii="Cambria Math"/>
            </w:rPr>
            <m:t>=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</w:rPr>
                            <m:t>t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/>
                    </w:rPr>
                    <m:t>'</m:t>
                  </m:r>
                  <m:r>
                    <w:rPr>
                      <w:rFonts w:ascii="Cambria Math"/>
                    </w:rPr>
                    <m:t>'</m:t>
                  </m:r>
                </m:sup>
              </m:sSup>
              <m:r>
                <w:rPr>
                  <w:rFonts w:ascii="Cambria Math"/>
                </w:rPr>
                <m:t>+p</m:t>
              </m:r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</w:rPr>
                            <m:t>t</m:t>
                          </m:r>
                        </m:e>
                      </m:d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ascii="Cambria Math"/>
                    </w:rPr>
                    <m:t>'</m:t>
                  </m:r>
                </m:sup>
              </m:sSup>
              <m:r>
                <w:rPr>
                  <w:rFonts w:ascii="Cambria Math"/>
                </w:rPr>
                <m:t>+q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</m:e>
          </m:d>
          <m:r>
            <w:rPr>
              <w:rFonts w:ascii="Cambria Math"/>
            </w:rPr>
            <m:t>+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  <m:sup>
                  <m:r>
                    <w:rPr>
                      <w:rFonts w:ascii="Cambria Math"/>
                    </w:rPr>
                    <m:t>'</m:t>
                  </m:r>
                  <m:r>
                    <w:rPr>
                      <w:rFonts w:ascii="Cambria Math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+p</m:t>
              </m:r>
              <m:sSubSup>
                <m:sSubSupPr>
                  <m:ctrlPr>
                    <w:rPr>
                      <w:rFonts w:asci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  <m:sup>
                  <m:r>
                    <w:rPr>
                      <w:rFonts w:ascii="Cambria Math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+q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</m:oMath>
      </m:oMathPara>
    </w:p>
    <w:p w:rsidR="006933A5" w:rsidRPr="006933A5" w:rsidRDefault="006933A5" w:rsidP="006933A5">
      <w:pPr>
        <w:spacing w:after="120"/>
        <w:ind w:left="360"/>
        <w:jc w:val="center"/>
      </w:pPr>
      <m:oMathPara>
        <m:oMathParaPr>
          <m:jc m:val="left"/>
        </m:oMathParaPr>
        <m:oMath>
          <m:r>
            <w:rPr>
              <w:rFonts w:ascii="Cambria Math"/>
            </w:rPr>
            <m:t>=0+g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</m:oMath>
      </m:oMathPara>
    </w:p>
    <w:p w:rsidR="006933A5" w:rsidRPr="006933A5" w:rsidRDefault="006933A5" w:rsidP="006933A5">
      <w:pPr>
        <w:spacing w:after="120"/>
        <w:ind w:left="360"/>
        <w:jc w:val="center"/>
      </w:pPr>
      <m:oMathPara>
        <m:oMathParaPr>
          <m:jc m:val="left"/>
        </m:oMathParaPr>
        <m:oMath>
          <m:r>
            <w:rPr>
              <w:rFonts w:ascii="Cambria Math"/>
            </w:rPr>
            <m:t>=g(t</m:t>
          </m:r>
          <m:r>
            <w:rPr>
              <w:rFonts w:ascii="Cambria Math"/>
            </w:rPr>
            <m:t>)</m:t>
          </m:r>
        </m:oMath>
      </m:oMathPara>
    </w:p>
    <w:p w:rsidR="006933A5" w:rsidRDefault="006933A5" w:rsidP="006933A5"/>
    <w:p w:rsidR="006933A5" w:rsidRDefault="006933A5" w:rsidP="006933A5">
      <w:pPr>
        <w:pStyle w:val="MTDisplayEquation"/>
      </w:pPr>
      <w:r>
        <w:t xml:space="preserve">Proof that if </w:t>
      </w:r>
      <m:oMath>
        <m:r>
          <w:rPr>
            <w:rFonts w:ascii="Cambria Math" w:hAnsi="Cambria Math"/>
          </w:rPr>
          <m:t>z(t)</m:t>
        </m:r>
      </m:oMath>
      <w:r>
        <w:t xml:space="preserve"> is a solution to the non-homogeneous equation, then for some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 </w:t>
      </w:r>
      <m:oMath>
        <m:r>
          <w:rPr>
            <w:rFonts w:ascii="Cambria Math"/>
          </w:rPr>
          <m:t>z(t)=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k</m:t>
            </m:r>
          </m:e>
          <m:sub>
            <m:r>
              <w:rPr>
                <w:rFonts w:asci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(t)+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p</m:t>
            </m:r>
          </m:sub>
        </m:sSub>
        <m:r>
          <w:rPr>
            <w:rFonts w:ascii="Cambria Math"/>
          </w:rPr>
          <m:t>(t)</m:t>
        </m:r>
      </m:oMath>
      <w:r>
        <w:t>.</w:t>
      </w:r>
    </w:p>
    <w:p w:rsidR="006933A5" w:rsidRDefault="006933A5" w:rsidP="006933A5"/>
    <w:p w:rsidR="006933A5" w:rsidRDefault="006933A5" w:rsidP="006933A5">
      <w:pPr>
        <w:ind w:left="360"/>
      </w:pPr>
      <w:r>
        <w:t xml:space="preserve">Notice first that </w:t>
      </w:r>
      <m:oMath>
        <m:r>
          <w:rPr>
            <w:rFonts w:ascii="Cambria Math"/>
          </w:rPr>
          <m:t>z(t)</m:t>
        </m:r>
        <m:r>
          <w:rPr>
            <w:rFonts w:asci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p</m:t>
            </m:r>
          </m:sub>
        </m:sSub>
        <m:r>
          <w:rPr>
            <w:rFonts w:ascii="Cambria Math"/>
          </w:rPr>
          <m:t>(t)</m:t>
        </m:r>
      </m:oMath>
      <w:r>
        <w:t xml:space="preserve"> is a solution to the homogeneous equation because</w:t>
      </w:r>
    </w:p>
    <w:p w:rsidR="006933A5" w:rsidRPr="006933A5" w:rsidRDefault="006933A5" w:rsidP="006933A5">
      <w:pPr>
        <w:spacing w:after="120"/>
        <w:ind w:left="720"/>
      </w:pPr>
      <m:oMathPara>
        <m:oMathParaPr>
          <m:jc m:val="left"/>
        </m:oMathParaPr>
        <m:oMath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z</m:t>
                  </m:r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p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/>
                </w:rPr>
                <m:t>'</m:t>
              </m:r>
              <m:r>
                <w:rPr>
                  <w:rFonts w:ascii="Cambria Math"/>
                </w:rPr>
                <m:t>'</m:t>
              </m:r>
            </m:sup>
          </m:sSup>
          <m:r>
            <w:rPr>
              <w:rFonts w:ascii="Cambria Math"/>
            </w:rPr>
            <m:t>+p</m:t>
          </m:r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z</m:t>
                  </m:r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p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</m:d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/>
                </w:rPr>
                <m:t>'</m:t>
              </m:r>
            </m:sup>
          </m:sSup>
          <m:r>
            <w:rPr>
              <w:rFonts w:ascii="Cambria Math"/>
            </w:rPr>
            <m:t>+q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z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</m:oMath>
      </m:oMathPara>
    </w:p>
    <w:p w:rsidR="006933A5" w:rsidRPr="006933A5" w:rsidRDefault="006933A5" w:rsidP="006933A5">
      <w:pPr>
        <w:spacing w:after="120"/>
        <w:ind w:left="720"/>
      </w:pPr>
      <m:oMathPara>
        <m:oMathParaPr>
          <m:jc m:val="left"/>
        </m:oMathParaPr>
        <m:oMath>
          <m:r>
            <w:rPr>
              <w:rFonts w:ascii="Cambria Math"/>
            </w:rPr>
            <m:t>=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z</m:t>
                  </m:r>
                </m:e>
                <m:sup>
                  <m:r>
                    <w:rPr>
                      <w:rFonts w:ascii="Cambria Math"/>
                    </w:rPr>
                    <m:t>'</m:t>
                  </m:r>
                  <m:r>
                    <w:rPr>
                      <w:rFonts w:asci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-</m:t>
              </m:r>
              <m:sSubSup>
                <m:sSubSupPr>
                  <m:ctrlPr>
                    <w:rPr>
                      <w:rFonts w:asci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  <m:sup>
                  <m:r>
                    <w:rPr>
                      <w:rFonts w:ascii="Cambria Math"/>
                    </w:rPr>
                    <m:t>'</m:t>
                  </m:r>
                  <m:r>
                    <w:rPr>
                      <w:rFonts w:ascii="Cambria Math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  <m:r>
            <w:rPr>
              <w:rFonts w:ascii="Cambria Math"/>
            </w:rPr>
            <m:t>+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p</m:t>
              </m:r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z</m:t>
                  </m:r>
                </m:e>
                <m:sup>
                  <m:r>
                    <w:rPr>
                      <w:rFonts w:asci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p</m:t>
              </m:r>
              <m:sSubSup>
                <m:sSubSupPr>
                  <m:ctrlPr>
                    <w:rPr>
                      <w:rFonts w:asci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  <m:sup>
                  <m:r>
                    <w:rPr>
                      <w:rFonts w:ascii="Cambria Math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  <m:r>
            <w:rPr>
              <w:rFonts w:ascii="Cambria Math"/>
            </w:rPr>
            <m:t>+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qz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q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</m:oMath>
      </m:oMathPara>
    </w:p>
    <w:p w:rsidR="006933A5" w:rsidRPr="006933A5" w:rsidRDefault="006933A5" w:rsidP="006933A5">
      <w:pPr>
        <w:spacing w:after="120"/>
        <w:ind w:left="720"/>
      </w:pPr>
      <m:oMathPara>
        <m:oMathParaPr>
          <m:jc m:val="left"/>
        </m:oMathParaPr>
        <m:oMath>
          <m:r>
            <w:rPr>
              <w:rFonts w:ascii="Cambria Math"/>
            </w:rPr>
            <m:t>=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z</m:t>
                  </m:r>
                </m:e>
                <m:sup>
                  <m:r>
                    <w:rPr>
                      <w:rFonts w:ascii="Cambria Math"/>
                    </w:rPr>
                    <m:t>'</m:t>
                  </m:r>
                  <m:r>
                    <w:rPr>
                      <w:rFonts w:asci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+p</m:t>
              </m:r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z</m:t>
                  </m:r>
                </m:e>
                <m:sup>
                  <m:r>
                    <w:rPr>
                      <w:rFonts w:asci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+qz</m:t>
              </m:r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  <m:r>
            <w:rPr>
              <w:rFonts w:ascii="Cambria Math"/>
            </w:rPr>
            <m:t>-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  <m:sup>
                  <m:r>
                    <w:rPr>
                      <w:rFonts w:ascii="Cambria Math"/>
                    </w:rPr>
                    <m:t>'</m:t>
                  </m:r>
                  <m:r>
                    <w:rPr>
                      <w:rFonts w:ascii="Cambria Math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+p</m:t>
              </m:r>
              <m:sSubSup>
                <m:sSubSupPr>
                  <m:ctrlPr>
                    <w:rPr>
                      <w:rFonts w:asci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  <m:sup>
                  <m:r>
                    <w:rPr>
                      <w:rFonts w:ascii="Cambria Math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  <m:r>
                <w:rPr>
                  <w:rFonts w:ascii="Cambria Math"/>
                </w:rPr>
                <m:t>+q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y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t</m:t>
                  </m:r>
                </m:e>
              </m:d>
            </m:e>
          </m:d>
        </m:oMath>
      </m:oMathPara>
    </w:p>
    <w:p w:rsidR="006933A5" w:rsidRPr="006933A5" w:rsidRDefault="006933A5" w:rsidP="006933A5">
      <w:pPr>
        <w:spacing w:after="120"/>
        <w:ind w:left="720"/>
      </w:pPr>
      <m:oMathPara>
        <m:oMathParaPr>
          <m:jc m:val="left"/>
        </m:oMathParaPr>
        <m:oMath>
          <m:r>
            <w:rPr>
              <w:rFonts w:ascii="Cambria Math"/>
            </w:rPr>
            <m:t>=g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  <m:r>
            <w:rPr>
              <w:rFonts w:ascii="Cambria Math"/>
            </w:rPr>
            <m:t>-</m:t>
          </m:r>
          <m:r>
            <w:rPr>
              <w:rFonts w:ascii="Cambria Math"/>
            </w:rPr>
            <m:t>g</m:t>
          </m:r>
          <m:d>
            <m:dPr>
              <m:ctrlPr>
                <w:rPr>
                  <w:rFonts w:asci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</m:oMath>
      </m:oMathPara>
    </w:p>
    <w:p w:rsidR="006933A5" w:rsidRPr="006933A5" w:rsidRDefault="006933A5" w:rsidP="006933A5">
      <w:pPr>
        <w:spacing w:after="120"/>
        <w:ind w:left="720"/>
      </w:pPr>
      <m:oMathPara>
        <m:oMathParaPr>
          <m:jc m:val="left"/>
        </m:oMathParaPr>
        <m:oMath>
          <m:r>
            <w:rPr>
              <w:rFonts w:ascii="Cambria Math"/>
            </w:rPr>
            <m:t>=</m:t>
          </m:r>
          <m:r>
            <w:rPr>
              <w:rFonts w:ascii="Cambria Math"/>
            </w:rPr>
            <m:t>0</m:t>
          </m:r>
        </m:oMath>
      </m:oMathPara>
    </w:p>
    <w:p w:rsidR="006933A5" w:rsidRDefault="006933A5" w:rsidP="006933A5">
      <w:pPr>
        <w:spacing w:after="120"/>
        <w:ind w:left="360"/>
      </w:pPr>
      <w:r>
        <w:t xml:space="preserve">Since it is the general solution for the homogeneous equation, </w:t>
      </w:r>
    </w:p>
    <w:p w:rsidR="006933A5" w:rsidRPr="006933A5" w:rsidRDefault="006933A5" w:rsidP="006933A5">
      <w:pPr>
        <w:spacing w:after="120"/>
        <w:ind w:left="720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k</m:t>
              </m:r>
            </m:e>
            <m:sub>
              <m:r>
                <w:rPr>
                  <w:rFonts w:asci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y</m:t>
              </m:r>
            </m:e>
            <m:sub>
              <m:r>
                <w:rPr>
                  <w:rFonts w:ascii="Cambria Math"/>
                </w:rPr>
                <m:t>1</m:t>
              </m:r>
            </m:sub>
          </m:sSub>
          <m:r>
            <w:rPr>
              <w:rFonts w:ascii="Cambria Math"/>
            </w:rPr>
            <m:t>(t)+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k</m:t>
              </m:r>
            </m:e>
            <m:sub>
              <m:r>
                <w:rPr>
                  <w:rFonts w:asci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y</m:t>
              </m:r>
            </m:e>
            <m:sub>
              <m:r>
                <w:rPr>
                  <w:rFonts w:ascii="Cambria Math"/>
                </w:rPr>
                <m:t>2</m:t>
              </m:r>
            </m:sub>
          </m:sSub>
          <m:r>
            <w:rPr>
              <w:rFonts w:ascii="Cambria Math"/>
            </w:rPr>
            <m:t>(t)=z(t)</m:t>
          </m:r>
          <m:r>
            <w:rPr>
              <w:rFonts w:asci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y</m:t>
              </m:r>
            </m:e>
            <m:sub>
              <m:r>
                <w:rPr>
                  <w:rFonts w:ascii="Cambria Math"/>
                </w:rPr>
                <m:t>p</m:t>
              </m:r>
            </m:sub>
          </m:sSub>
          <m:r>
            <w:rPr>
              <w:rFonts w:ascii="Cambria Math"/>
            </w:rPr>
            <m:t>(t</m:t>
          </m:r>
          <m:r>
            <w:rPr>
              <w:rFonts w:ascii="Cambria Math"/>
            </w:rPr>
            <m:t>)</m:t>
          </m:r>
        </m:oMath>
      </m:oMathPara>
    </w:p>
    <w:p w:rsidR="00620688" w:rsidRDefault="006933A5" w:rsidP="006933A5">
      <w:pPr>
        <w:spacing w:after="120"/>
        <w:ind w:left="360"/>
      </w:pPr>
      <w:r>
        <w:t xml:space="preserve">for some choice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.  The result follows by adding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p</m:t>
            </m:r>
          </m:sub>
        </m:sSub>
        <m:r>
          <w:rPr>
            <w:rFonts w:ascii="Cambria Math"/>
          </w:rPr>
          <m:t>(t)</m:t>
        </m:r>
      </m:oMath>
      <w:r>
        <w:t xml:space="preserve"> to both sides.</w:t>
      </w:r>
    </w:p>
    <w:sectPr w:rsidR="00620688" w:rsidSect="006933A5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61FE7"/>
    <w:multiLevelType w:val="hybridMultilevel"/>
    <w:tmpl w:val="1FF8D904"/>
    <w:lvl w:ilvl="0" w:tplc="6BFE8A12">
      <w:start w:val="1"/>
      <w:numFmt w:val="decimal"/>
      <w:pStyle w:val="MTDisplayEquation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A5"/>
    <w:rsid w:val="00620688"/>
    <w:rsid w:val="0069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F74F"/>
  <w15:chartTrackingRefBased/>
  <w15:docId w15:val="{FDE9811D-4BF6-4D7A-A073-04E1C529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6933A5"/>
    <w:pPr>
      <w:numPr>
        <w:numId w:val="1"/>
      </w:numPr>
      <w:tabs>
        <w:tab w:val="center" w:pos="486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1556</Characters>
  <Application>Microsoft Office Word</Application>
  <DocSecurity>0</DocSecurity>
  <Lines>12</Lines>
  <Paragraphs>3</Paragraphs>
  <ScaleCrop>false</ScaleCrop>
  <Company>Goshen College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 Housman</dc:creator>
  <cp:keywords/>
  <dc:description/>
  <cp:lastModifiedBy>David L Housman</cp:lastModifiedBy>
  <cp:revision>1</cp:revision>
  <dcterms:created xsi:type="dcterms:W3CDTF">2022-09-25T12:39:00Z</dcterms:created>
  <dcterms:modified xsi:type="dcterms:W3CDTF">2022-09-25T12:49:00Z</dcterms:modified>
</cp:coreProperties>
</file>